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10-bis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406573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Changsha , China, 15th – 19th April 2024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hint="eastAsia" w:ascii="Arial" w:hAnsi="Arial" w:cs="Arial"/>
          <w:sz w:val="22"/>
          <w:lang w:val="en-US" w:eastAsia="zh-CN"/>
        </w:rPr>
        <w:t xml:space="preserve"> A-MPR for FDD PC2 HPUE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5.19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Cs/>
          <w:sz w:val="22"/>
          <w:lang w:val="en-US" w:eastAsia="zh-CN"/>
        </w:rPr>
        <w:t>China Unicom</w:t>
      </w:r>
      <w:bookmarkStart w:id="0" w:name="_GoBack"/>
      <w:bookmarkEnd w:id="0"/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/>
    <w:p>
      <w:pPr>
        <w:pStyle w:val="2"/>
      </w:pPr>
      <w:r>
        <w:rPr>
          <w:rFonts w:hint="eastAsia" w:eastAsia="宋体"/>
          <w:lang w:val="en-US" w:eastAsia="zh-CN"/>
        </w:rPr>
        <w:t>1. Background</w:t>
      </w:r>
    </w:p>
    <w:p>
      <w:pPr>
        <w:rPr>
          <w:rFonts w:eastAsia="宋体"/>
          <w:lang w:val="en-US" w:eastAsia="zh-CN"/>
        </w:rPr>
      </w:pPr>
      <w:r>
        <w:rPr>
          <w:rFonts w:hint="eastAsia"/>
        </w:rPr>
        <w:t xml:space="preserve">During the </w:t>
      </w:r>
      <w:r>
        <w:rPr>
          <w:rFonts w:hint="eastAsia" w:eastAsia="宋体"/>
          <w:lang w:val="en-US" w:eastAsia="zh-CN"/>
        </w:rPr>
        <w:t>RAN4-110</w:t>
      </w:r>
      <w:r>
        <w:rPr>
          <w:rFonts w:hint="eastAsia"/>
        </w:rPr>
        <w:t xml:space="preserve"> meeting, the issue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related with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FDD </w:t>
      </w:r>
      <w:r>
        <w:rPr>
          <w:rFonts w:hint="eastAsia"/>
        </w:rPr>
        <w:t xml:space="preserve">PC2 </w:t>
      </w:r>
      <w:r>
        <w:rPr>
          <w:rFonts w:hint="eastAsia" w:eastAsia="宋体"/>
          <w:lang w:val="en-US" w:eastAsia="zh-CN"/>
        </w:rPr>
        <w:t xml:space="preserve">A-MPR </w:t>
      </w:r>
      <w:r>
        <w:rPr>
          <w:rFonts w:hint="eastAsia"/>
        </w:rPr>
        <w:t>w</w:t>
      </w:r>
      <w:r>
        <w:rPr>
          <w:rFonts w:hint="eastAsia" w:eastAsia="宋体"/>
          <w:lang w:val="en-US" w:eastAsia="zh-CN"/>
        </w:rPr>
        <w:t>ere</w:t>
      </w:r>
      <w:r>
        <w:rPr>
          <w:rFonts w:hint="eastAsia"/>
        </w:rPr>
        <w:t xml:space="preserve"> discussed, and the agreements were captured in </w:t>
      </w:r>
      <w:r>
        <w:rPr>
          <w:rFonts w:hint="eastAsia" w:eastAsia="宋体"/>
          <w:lang w:val="en-US" w:eastAsia="zh-CN"/>
        </w:rPr>
        <w:t>[1].</w:t>
      </w:r>
    </w:p>
    <w:p>
      <w:pPr>
        <w:rPr>
          <w:rFonts w:eastAsia="宋体"/>
          <w:lang w:val="en-US" w:eastAsia="zh-CN"/>
        </w:rPr>
      </w:pPr>
    </w:p>
    <w:p>
      <w:pPr>
        <w:pStyle w:val="2"/>
      </w:pPr>
      <w:r>
        <w:t xml:space="preserve">&lt;Topic </w:t>
      </w:r>
      <w:r>
        <w:rPr>
          <w:rFonts w:hint="eastAsia" w:eastAsia="宋体"/>
          <w:lang w:val="en-US" w:eastAsia="zh-CN"/>
        </w:rPr>
        <w:t>1 A-MPR</w:t>
      </w:r>
      <w:r>
        <w:t>&gt;</w:t>
      </w:r>
    </w:p>
    <w:p/>
    <w:p>
      <w:pPr>
        <w:pStyle w:val="3"/>
        <w:rPr>
          <w:rFonts w:eastAsia="宋体"/>
          <w:lang w:val="en-US"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 xml:space="preserve">1-1 </w:t>
      </w:r>
      <w:r>
        <w:rPr>
          <w:rFonts w:eastAsia="宋体"/>
          <w:lang w:val="en-US" w:eastAsia="zh-CN"/>
        </w:rPr>
        <w:t>HPUE with dual Tx</w:t>
      </w:r>
      <w:r>
        <w:rPr>
          <w:rFonts w:hint="eastAsia" w:eastAsia="宋体"/>
          <w:lang w:val="en-US" w:eastAsia="zh-CN"/>
        </w:rPr>
        <w:t>&gt;</w:t>
      </w:r>
    </w:p>
    <w:p>
      <w:pPr>
        <w:pStyle w:val="76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&lt;Background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tabs>
          <w:tab w:val="left" w:pos="1360"/>
        </w:tabs>
        <w:overflowPunct/>
        <w:autoSpaceDE/>
        <w:autoSpaceDN/>
        <w:adjustRightInd/>
        <w:spacing w:after="120"/>
        <w:jc w:val="both"/>
        <w:textAlignment w:val="auto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>WF from [1]:</w:t>
      </w:r>
    </w:p>
    <w:p>
      <w:pPr>
        <w:tabs>
          <w:tab w:val="left" w:pos="1360"/>
        </w:tabs>
        <w:overflowPunct/>
        <w:autoSpaceDE/>
        <w:autoSpaceDN/>
        <w:adjustRightInd/>
        <w:spacing w:after="120"/>
        <w:jc w:val="both"/>
        <w:textAlignment w:val="auto"/>
        <w:rPr>
          <w:bCs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inline distT="0" distB="0" distL="0" distR="0">
                <wp:extent cx="6155055" cy="3979545"/>
                <wp:effectExtent l="20955" t="20955" r="91440" b="76200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397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tabs>
                                <w:tab w:val="left" w:pos="136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jc w:val="both"/>
                              <w:textAlignment w:val="auto"/>
                              <w:rPr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en-US" w:eastAsia="zh-CN"/>
                              </w:rPr>
                              <w:t>The handling of HPUE with dual Tx requires special attention. When NR-U PC3 was specified, a separate table was introduced for dual Tx. While this might offer the clearest solution in terms of explicitly defined values it creates considerable work and more cluttering.</w:t>
                            </w:r>
                          </w:p>
                          <w:p>
                            <w:pPr>
                              <w:tabs>
                                <w:tab w:val="left" w:pos="136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jc w:val="both"/>
                              <w:textAlignment w:val="auto"/>
                              <w:rPr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en-US" w:eastAsia="zh-CN"/>
                              </w:rPr>
                              <w:t xml:space="preserve">Companies are therefore asked to provide their views and proposals to efficiently solve the challenges with specifying A-MPR for dual Tx. </w:t>
                            </w:r>
                          </w:p>
                          <w:p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>&lt;Way forward</w:t>
                            </w:r>
                            <w:r>
                              <w:rPr>
                                <w:b/>
                                <w:i/>
                                <w:iCs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: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0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hint="eastAsia" w:eastAsia="宋体"/>
                                <w:i/>
                                <w:iCs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: Limit the dual-Tx UE A-MPR to be at most 3 dB higher than PC3, while allowing the extra [2] dB relaxation within this boundary.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0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hint="eastAsia" w:eastAsia="宋体"/>
                                <w:i/>
                                <w:iCs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: Introduce dedicated A-MPR for PC2 with dual Tx (as has been done for other NS flags such as NS_60).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0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hint="eastAsia" w:eastAsia="宋体"/>
                                <w:i/>
                                <w:iCs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 xml:space="preserve">: 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1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Void Note 7 from Table 6.2.3.1-1,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1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Limit the single-Tx and dual-Tx PC2 FDD A-MPR to be at most 3dB higher than PC3 A-MPR,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1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Capture the dual-Tx A-MPR additional relaxation for each affected NS flag.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1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 xml:space="preserve">We invite companies to study how to best capture the dual-Tx additional relaxation: 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2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separate table from PC2 single Tx?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2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footnote to single-Tx PC2 A-MPR for each regions?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2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any other approach not precluded.</w:t>
                            </w:r>
                          </w:p>
                          <w:p>
                            <w:pPr>
                              <w:pStyle w:val="76"/>
                              <w:numPr>
                                <w:ilvl w:val="0"/>
                                <w:numId w:val="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i/>
                                <w:iCs/>
                                <w:lang w:val="en-US" w:eastAsia="zh-CN"/>
                              </w:rPr>
                              <w:t xml:space="preserve">Other </w:t>
                            </w:r>
                            <w:r>
                              <w:rPr>
                                <w:rFonts w:eastAsia="宋体"/>
                                <w:i/>
                                <w:iCs/>
                                <w:lang w:val="en-US" w:eastAsia="zh-CN"/>
                              </w:rPr>
                              <w:t>Option</w:t>
                            </w:r>
                            <w:r>
                              <w:rPr>
                                <w:rFonts w:hint="eastAsia" w:eastAsia="宋体"/>
                                <w:i/>
                                <w:iCs/>
                                <w:lang w:val="en-US" w:eastAsia="zh-CN"/>
                              </w:rPr>
                              <w:t>s are not precluded.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" o:spid="_x0000_s1026" o:spt="202" type="#_x0000_t202" style="height:313.35pt;width:484.65pt;" fillcolor="#FFFFFF" filled="t" stroked="t" coordsize="21600,21600" o:gfxdata="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EQOKI1wAAAAUBAAAPAAAAAAAAAAEA&#10;IAAAACIAAABkcnMvZG93bnJldi54bWxQSwECFAAUAAAACACHTuJAxQqHKoICAAAyBQAADgAAAAAA&#10;AAABACAAAAAmAQAAZHJzL2Uyb0RvYy54bWxQSwUGAAAAAAYABgBZAQAAGgYAAAAA&#10;">
                <v:fill on="t" focussize="0,0"/>
                <v:stroke color="#000000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  <v:textbox>
                  <w:txbxContent>
                    <w:p>
                      <w:pPr>
                        <w:tabs>
                          <w:tab w:val="left" w:pos="1360"/>
                        </w:tabs>
                        <w:overflowPunct/>
                        <w:autoSpaceDE/>
                        <w:autoSpaceDN/>
                        <w:adjustRightInd/>
                        <w:spacing w:after="120"/>
                        <w:jc w:val="both"/>
                        <w:textAlignment w:val="auto"/>
                        <w:rPr>
                          <w:bCs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bCs/>
                          <w:i/>
                          <w:iCs/>
                          <w:lang w:val="en-US" w:eastAsia="zh-CN"/>
                        </w:rPr>
                        <w:t>The handling of HPUE with dual Tx requires special attention. When NR-U PC3 was specified, a separate table was introduced for dual Tx. While this might offer the clearest solution in terms of explicitly defined values it creates considerable work and more cluttering.</w:t>
                      </w:r>
                    </w:p>
                    <w:p>
                      <w:pPr>
                        <w:tabs>
                          <w:tab w:val="left" w:pos="1360"/>
                        </w:tabs>
                        <w:overflowPunct/>
                        <w:autoSpaceDE/>
                        <w:autoSpaceDN/>
                        <w:adjustRightInd/>
                        <w:spacing w:after="120"/>
                        <w:jc w:val="both"/>
                        <w:textAlignment w:val="auto"/>
                        <w:rPr>
                          <w:bCs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bCs/>
                          <w:i/>
                          <w:iCs/>
                          <w:lang w:val="en-US" w:eastAsia="zh-CN"/>
                        </w:rPr>
                        <w:t xml:space="preserve">Companies are therefore asked to provide their views and proposals to efficiently solve the challenges with specifying A-MPR for dual Tx. </w:t>
                      </w:r>
                    </w:p>
                    <w:p>
                      <w:p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b/>
                          <w:i/>
                          <w:iCs/>
                          <w:lang w:val="en-US" w:eastAsia="zh-CN"/>
                        </w:rPr>
                        <w:t>&lt;Way forward</w:t>
                      </w:r>
                      <w:r>
                        <w:rPr>
                          <w:b/>
                          <w:i/>
                          <w:iCs/>
                          <w:lang w:eastAsia="zh-CN"/>
                        </w:rPr>
                        <w:t>&gt;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:</w:t>
                      </w:r>
                    </w:p>
                    <w:p>
                      <w:pPr>
                        <w:pStyle w:val="76"/>
                        <w:numPr>
                          <w:ilvl w:val="0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 xml:space="preserve">Option </w:t>
                      </w:r>
                      <w:r>
                        <w:rPr>
                          <w:rFonts w:hint="eastAsia" w:eastAsia="宋体"/>
                          <w:i/>
                          <w:iCs/>
                          <w:lang w:val="en-US" w:eastAsia="zh-CN"/>
                        </w:rPr>
                        <w:t>1</w:t>
                      </w: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: Limit the dual-Tx UE A-MPR to be at most 3 dB higher than PC3, while allowing the extra [2] dB relaxation within this boundary.</w:t>
                      </w:r>
                    </w:p>
                    <w:p>
                      <w:pPr>
                        <w:pStyle w:val="76"/>
                        <w:numPr>
                          <w:ilvl w:val="0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 xml:space="preserve">Option </w:t>
                      </w:r>
                      <w:r>
                        <w:rPr>
                          <w:rFonts w:hint="eastAsia" w:eastAsia="宋体"/>
                          <w:i/>
                          <w:iCs/>
                          <w:lang w:val="en-US" w:eastAsia="zh-CN"/>
                        </w:rPr>
                        <w:t>2</w:t>
                      </w: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: Introduce dedicated A-MPR for PC2 with dual Tx (as has been done for other NS flags such as NS_60).</w:t>
                      </w:r>
                    </w:p>
                    <w:p>
                      <w:pPr>
                        <w:pStyle w:val="76"/>
                        <w:numPr>
                          <w:ilvl w:val="0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 xml:space="preserve">Option </w:t>
                      </w:r>
                      <w:r>
                        <w:rPr>
                          <w:rFonts w:hint="eastAsia" w:eastAsia="宋体"/>
                          <w:i/>
                          <w:iCs/>
                          <w:lang w:val="en-US" w:eastAsia="zh-CN"/>
                        </w:rPr>
                        <w:t>3</w:t>
                      </w: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 xml:space="preserve">: </w:t>
                      </w:r>
                    </w:p>
                    <w:p>
                      <w:pPr>
                        <w:pStyle w:val="76"/>
                        <w:numPr>
                          <w:ilvl w:val="1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Void Note 7 from Table 6.2.3.1-1,</w:t>
                      </w:r>
                    </w:p>
                    <w:p>
                      <w:pPr>
                        <w:pStyle w:val="76"/>
                        <w:numPr>
                          <w:ilvl w:val="1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Limit the single-Tx and dual-Tx PC2 FDD A-MPR to be at most 3dB higher than PC3 A-MPR,</w:t>
                      </w:r>
                    </w:p>
                    <w:p>
                      <w:pPr>
                        <w:pStyle w:val="76"/>
                        <w:numPr>
                          <w:ilvl w:val="1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Capture the dual-Tx A-MPR additional relaxation for each affected NS flag.</w:t>
                      </w:r>
                    </w:p>
                    <w:p>
                      <w:pPr>
                        <w:pStyle w:val="76"/>
                        <w:numPr>
                          <w:ilvl w:val="1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 xml:space="preserve">We invite companies to study how to best capture the dual-Tx additional relaxation: </w:t>
                      </w:r>
                    </w:p>
                    <w:p>
                      <w:pPr>
                        <w:pStyle w:val="76"/>
                        <w:numPr>
                          <w:ilvl w:val="2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separate table from PC2 single Tx?</w:t>
                      </w:r>
                    </w:p>
                    <w:p>
                      <w:pPr>
                        <w:pStyle w:val="76"/>
                        <w:numPr>
                          <w:ilvl w:val="2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footnote to single-Tx PC2 A-MPR for each regions?</w:t>
                      </w:r>
                    </w:p>
                    <w:p>
                      <w:pPr>
                        <w:pStyle w:val="76"/>
                        <w:numPr>
                          <w:ilvl w:val="2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any other approach not precluded.</w:t>
                      </w:r>
                    </w:p>
                    <w:p>
                      <w:pPr>
                        <w:pStyle w:val="76"/>
                        <w:numPr>
                          <w:ilvl w:val="0"/>
                          <w:numId w:val="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i/>
                          <w:iCs/>
                          <w:lang w:val="en-US" w:eastAsia="zh-CN"/>
                        </w:rPr>
                        <w:t xml:space="preserve">Other </w:t>
                      </w:r>
                      <w:r>
                        <w:rPr>
                          <w:rFonts w:eastAsia="宋体"/>
                          <w:i/>
                          <w:iCs/>
                          <w:lang w:val="en-US" w:eastAsia="zh-CN"/>
                        </w:rPr>
                        <w:t>Option</w:t>
                      </w:r>
                      <w:r>
                        <w:rPr>
                          <w:rFonts w:hint="eastAsia" w:eastAsia="宋体"/>
                          <w:i/>
                          <w:iCs/>
                          <w:lang w:val="en-US" w:eastAsia="zh-CN"/>
                        </w:rPr>
                        <w:t>s are not precluded.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76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&lt;Agreement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pStyle w:val="76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szCs w:val="24"/>
          <w:lang w:val="en-US" w:eastAsia="zh-CN"/>
        </w:rPr>
        <w:t>Limit the single-Tx and dual-Tx PC2 FDD A-MPR to be at most 3dB higher than the PC3 A-MPR</w:t>
      </w:r>
      <w:r>
        <w:rPr>
          <w:rFonts w:hint="eastAsia" w:eastAsia="宋体"/>
          <w:szCs w:val="24"/>
          <w:lang w:val="en-US" w:eastAsia="zh-CN"/>
        </w:rPr>
        <w:t>.</w:t>
      </w:r>
    </w:p>
    <w:p>
      <w:pPr>
        <w:pStyle w:val="76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szCs w:val="24"/>
          <w:lang w:val="en-US" w:eastAsia="zh-CN"/>
        </w:rPr>
        <w:t>FFS how to capture the dual-Tx A-MPR in the spec</w:t>
      </w:r>
      <w:r>
        <w:rPr>
          <w:rFonts w:hint="eastAsia" w:eastAsia="宋体"/>
          <w:szCs w:val="24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rPr>
          <w:lang w:eastAsia="zh-CN"/>
        </w:rPr>
      </w:pPr>
    </w:p>
    <w:p>
      <w:pPr>
        <w:pStyle w:val="3"/>
      </w:pPr>
      <w:r>
        <w:t xml:space="preserve">&lt;Sub-topic </w:t>
      </w:r>
      <w:r>
        <w:rPr>
          <w:rFonts w:hint="eastAsia" w:eastAsia="宋体"/>
          <w:lang w:val="en-US" w:eastAsia="zh-CN"/>
        </w:rPr>
        <w:t>1-</w:t>
      </w:r>
      <w:r>
        <w:rPr>
          <w:rFonts w:eastAsia="宋体"/>
          <w:lang w:val="en-US" w:eastAsia="zh-CN"/>
        </w:rPr>
        <w:t>2</w:t>
      </w:r>
      <w:r>
        <w:rPr>
          <w:rFonts w:hint="eastAsia" w:eastAsia="宋体"/>
          <w:lang w:val="en-US" w:eastAsia="zh-CN"/>
        </w:rPr>
        <w:t xml:space="preserve"> NS_07 (A-MPR for n13 PC2)</w:t>
      </w:r>
      <w:r>
        <w:t>&gt;</w:t>
      </w:r>
    </w:p>
    <w:p>
      <w:pPr>
        <w:pStyle w:val="76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val="en-US" w:eastAsia="zh-CN"/>
        </w:rPr>
        <w:t>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pStyle w:val="76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hint="eastAsia"/>
          <w:lang w:eastAsia="zh-CN"/>
        </w:rPr>
        <w:t xml:space="preserve">There are two candidate results for NS_07 (A-MPR for n13 PC2) </w:t>
      </w:r>
      <w:r>
        <w:rPr>
          <w:rFonts w:hint="eastAsia"/>
          <w:lang w:val="en-US" w:eastAsia="zh-CN"/>
        </w:rPr>
        <w:t>:</w:t>
      </w:r>
    </w:p>
    <w:p>
      <w:pPr>
        <w:pStyle w:val="76"/>
        <w:numPr>
          <w:ilvl w:val="0"/>
          <w:numId w:val="4"/>
        </w:numPr>
        <w:overflowPunct/>
        <w:autoSpaceDE/>
        <w:autoSpaceDN/>
        <w:adjustRightInd/>
        <w:spacing w:after="120"/>
        <w:ind w:left="840" w:firstLineChars="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Option 1:</w:t>
      </w:r>
      <w:r>
        <w:rPr>
          <w:lang w:val="en-US" w:eastAsia="zh-CN"/>
        </w:rPr>
        <w:t xml:space="preserve"> Define 1Tx PC2 A-MPR for NS_07 as proposed in “R4-2318750 On NS_07 for PC2, Apple, RAN4#109”.</w:t>
      </w:r>
    </w:p>
    <w:p>
      <w:pPr>
        <w:pStyle w:val="76"/>
        <w:numPr>
          <w:ilvl w:val="0"/>
          <w:numId w:val="4"/>
        </w:numPr>
        <w:overflowPunct/>
        <w:autoSpaceDE/>
        <w:autoSpaceDN/>
        <w:adjustRightInd/>
        <w:spacing w:after="120"/>
        <w:ind w:left="840" w:firstLineChars="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2: </w:t>
      </w:r>
      <w:r>
        <w:rPr>
          <w:lang w:val="en-US" w:eastAsia="zh-CN"/>
        </w:rPr>
        <w:t>Agree on the captured regions and A-MPR for single Tx from WF R4-2403629.</w:t>
      </w:r>
    </w:p>
    <w:p>
      <w:pPr>
        <w:pStyle w:val="76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Aim to finalize the requirements in RAN4-111.</w:t>
      </w:r>
    </w:p>
    <w:p/>
    <w:p>
      <w:pPr>
        <w:rPr>
          <w:rFonts w:ascii="Arial" w:hAnsi="Arial" w:eastAsia="宋体"/>
          <w:sz w:val="32"/>
          <w:lang w:val="en-US" w:eastAsia="zh-CN"/>
        </w:rPr>
      </w:pP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&lt;Sub-topic 1-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 A-MPR and related issues for n28 PC2&gt;</w:t>
      </w:r>
    </w:p>
    <w:p>
      <w:pPr>
        <w:numPr>
          <w:ilvl w:val="0"/>
          <w:numId w:val="0"/>
        </w:numPr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A-MPR </w:t>
      </w:r>
      <w:r>
        <w:rPr>
          <w:rFonts w:hint="eastAsia"/>
          <w:lang w:val="en-US" w:eastAsia="zh-CN"/>
        </w:rPr>
        <w:t xml:space="preserve">and related issues for n28 PC2 is discussed in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R4-2406708 </w:t>
      </w:r>
      <w:r>
        <w:rPr>
          <w:rFonts w:hint="default"/>
          <w:b w:val="0"/>
          <w:bCs/>
          <w:lang w:val="en-US" w:eastAsia="zh-CN"/>
        </w:rPr>
        <w:t>WF on band n28 full band duplexer”</w:t>
      </w:r>
      <w:r>
        <w:rPr>
          <w:rFonts w:hint="eastAsia"/>
          <w:b w:val="0"/>
          <w:bCs/>
          <w:lang w:val="en-US" w:eastAsia="zh-CN"/>
        </w:rPr>
        <w:t>.</w:t>
      </w:r>
    </w:p>
    <w:p>
      <w:pPr>
        <w:rPr>
          <w:b/>
          <w:lang w:val="en-US" w:eastAsia="zh-CN"/>
        </w:rPr>
      </w:pPr>
    </w:p>
    <w:p>
      <w:pPr>
        <w:pStyle w:val="3"/>
        <w:rPr>
          <w:lang w:val="en-US" w:eastAsia="zh-CN"/>
        </w:rPr>
      </w:pPr>
      <w:r>
        <w:t xml:space="preserve">&lt;Sub-topic </w:t>
      </w:r>
      <w:r>
        <w:rPr>
          <w:rFonts w:hint="eastAsia"/>
          <w:lang w:val="en-US" w:eastAsia="zh-CN"/>
        </w:rPr>
        <w:t>1</w:t>
      </w:r>
      <w:r>
        <w:t>-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 NS_46 (A-MPR for n7 PC2)</w:t>
      </w:r>
      <w:r>
        <w:t>&gt;</w:t>
      </w:r>
    </w:p>
    <w:p>
      <w:pPr>
        <w:spacing w:after="120" w:afterLines="50"/>
        <w:ind w:firstLine="420"/>
        <w:rPr>
          <w:lang w:val="en-US" w:eastAsia="zh-CN"/>
        </w:rPr>
      </w:pPr>
      <w:r>
        <w:rPr>
          <w:rFonts w:hint="eastAsia"/>
          <w:b/>
          <w:lang w:val="en-US" w:eastAsia="zh-CN"/>
        </w:rPr>
        <w:t>&lt;Agreement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>
      <w:pPr>
        <w:pStyle w:val="31"/>
        <w:numPr>
          <w:ilvl w:val="0"/>
          <w:numId w:val="5"/>
        </w:numPr>
        <w:spacing w:after="0"/>
        <w:rPr>
          <w:lang w:val="en-US" w:eastAsia="zh-CN"/>
        </w:rPr>
      </w:pPr>
      <w:r>
        <w:rPr>
          <w:lang w:eastAsia="zh-CN"/>
        </w:rPr>
        <w:t>Tentatively agree the A-MPR regions and A-MPR values in Table 1 and Table 2 below for NS_46 for PC2 operation</w:t>
      </w:r>
      <w:r>
        <w:rPr>
          <w:rFonts w:hint="eastAsia"/>
          <w:lang w:val="en-US" w:eastAsia="zh-CN"/>
        </w:rPr>
        <w:t>:</w:t>
      </w:r>
    </w:p>
    <w:p>
      <w:pPr>
        <w:pStyle w:val="31"/>
        <w:spacing w:after="0"/>
        <w:rPr>
          <w:b/>
          <w:bCs/>
          <w:lang w:eastAsia="zh-CN"/>
        </w:rPr>
      </w:pPr>
    </w:p>
    <w:p>
      <w:pPr>
        <w:pStyle w:val="69"/>
        <w:rPr>
          <w:lang w:val="en-US"/>
        </w:rPr>
      </w:pPr>
      <w:r>
        <w:t>Table 1: A-MPR regions for NS_46 for PC2</w:t>
      </w:r>
    </w:p>
    <w:tbl>
      <w:tblPr>
        <w:tblStyle w:val="46"/>
        <w:tblW w:w="8432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9"/>
        <w:gridCol w:w="2002"/>
        <w:gridCol w:w="1480"/>
        <w:gridCol w:w="29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7"/>
            </w:pPr>
            <w:r>
              <w:t>Channel Bandwidth,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7"/>
            </w:pPr>
            <w: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Regions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7"/>
            </w:pPr>
            <w: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RB</w:t>
            </w:r>
            <w:r>
              <w:rPr>
                <w:vertAlign w:val="subscript"/>
              </w:rPr>
              <w:t>end</w:t>
            </w:r>
            <w:r>
              <w:t>*12*SCS</w:t>
            </w:r>
          </w:p>
          <w:p>
            <w:pPr>
              <w:pStyle w:val="67"/>
            </w:pPr>
            <w:r>
              <w:t>MHz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>
            <w:pPr>
              <w:pStyle w:val="67"/>
            </w:pPr>
            <w:r>
              <w:t>MHz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10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2550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2565</w:t>
            </w:r>
          </w:p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7.92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 w:cs="Arial"/>
                <w:kern w:val="2"/>
                <w:sz w:val="16"/>
                <w:szCs w:val="18"/>
              </w:rPr>
              <w:t xml:space="preserve"> 5.4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kern w:val="2"/>
                <w:szCs w:val="18"/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5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7.92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2.16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15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[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val="zh-CN" w:eastAsia="ja-JP"/>
              </w:rPr>
              <w:t>2560.5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]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2562.5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11.16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 w:cs="Arial"/>
                <w:kern w:val="2"/>
                <w:sz w:val="16"/>
                <w:szCs w:val="18"/>
              </w:rPr>
              <w:t xml:space="preserve"> 5.4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11.16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kern w:val="2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20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[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val="zh-CN" w:eastAsia="ja-JP"/>
              </w:rPr>
              <w:t>2552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]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2560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12.6,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15.3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&gt; </w:t>
            </w:r>
            <w:r>
              <w:rPr>
                <w:rFonts w:eastAsia="Calibri" w:cs="Arial"/>
                <w:color w:val="FF0000"/>
                <w:kern w:val="2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/>
                <w:color w:val="FF0000"/>
                <w:kern w:val="2"/>
                <w:szCs w:val="18"/>
              </w:rPr>
            </w:pPr>
            <w:r>
              <w:rPr>
                <w:rFonts w:eastAsia="Calibri"/>
                <w:color w:val="FF0000"/>
                <w:kern w:val="2"/>
                <w:szCs w:val="18"/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15.3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&gt; </w:t>
            </w:r>
            <w:r>
              <w:rPr>
                <w:rFonts w:eastAsia="Calibri" w:cs="Arial"/>
                <w:color w:val="FF0000"/>
                <w:kern w:val="2"/>
                <w:szCs w:val="18"/>
              </w:rPr>
              <w:t>8.64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14.4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≤ </w:t>
            </w:r>
            <w:r>
              <w:rPr>
                <w:rFonts w:eastAsia="Calibri" w:cs="Arial"/>
                <w:color w:val="FF0000"/>
                <w:kern w:val="2"/>
                <w:szCs w:val="18"/>
              </w:rPr>
              <w:t>8.64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1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t>25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[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val="zh-CN" w:eastAsia="ja-JP"/>
              </w:rPr>
              <w:t>2534.5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]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2557.5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14.4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&gt;max (0, </w:t>
            </w:r>
            <w:r>
              <w:rPr>
                <w:rFonts w:cs="Arial"/>
              </w:rPr>
              <w:t>12*SCS*RB</w:t>
            </w:r>
            <w:r>
              <w:rPr>
                <w:rFonts w:cs="Arial"/>
                <w:vertAlign w:val="subscript"/>
              </w:rPr>
              <w:t>end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- 2.7)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14.4,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&gt; 16.02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t xml:space="preserve"> 16.02,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 w:cs="Arial"/>
                <w:kern w:val="2"/>
                <w:sz w:val="16"/>
                <w:szCs w:val="18"/>
              </w:rPr>
              <w:t xml:space="preserve"> 9.72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17.64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9.72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&lt;1.44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≥1.44, &lt;13.5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-1.8)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≥13.5, &lt;19.8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&gt;11.52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≥19.8, &lt;25.92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20.7 , &lt; 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t>35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 w:eastAsiaTheme="minorHAnsi"/>
                <w:kern w:val="2"/>
                <w:szCs w:val="22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≥</w:t>
            </w:r>
            <w:r>
              <w:rPr>
                <w:rFonts w:eastAsia="MS Mincho"/>
                <w:color w:val="000000"/>
                <w:kern w:val="24"/>
                <w:szCs w:val="18"/>
              </w:rPr>
              <w:t>0</w:t>
            </w:r>
            <w:r>
              <w:rPr>
                <w:rFonts w:eastAsia="MS Mincho" w:cs="Arial"/>
                <w:color w:val="000000"/>
                <w:kern w:val="24"/>
                <w:szCs w:val="18"/>
              </w:rPr>
              <w:t>, &lt;3.42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theme="minorBidi"/>
              </w:rPr>
            </w:pPr>
            <w:r>
              <w:rPr>
                <w:rFonts w:eastAsia="MS Mincho"/>
                <w:color w:val="000000"/>
                <w:kern w:val="24"/>
                <w:szCs w:val="18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≥3.42, &lt;15.84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- 3.06)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≥15.84, &lt;22.68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≥22.68, &lt;28.8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24.3 , &lt; 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t>40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</w:rPr>
              <w:t>≥</w:t>
            </w:r>
            <w:r>
              <w:t>0</w:t>
            </w:r>
            <w:r>
              <w:rPr>
                <w:rFonts w:cs="Arial"/>
              </w:rPr>
              <w:t>, &lt; 4.5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FF0000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≥ 4.14, &lt;5.04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FF0000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&gt;max (0, 12*SCS*RBend - 4.5)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A11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≥5.04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, &lt;18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- 4.5)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≥18, &lt;25.74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&gt;13.5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≥25.74, &lt;32.4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27.9 , &lt; 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  <w:r>
              <w:t>50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≥9, &lt;21.6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- 7.2)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≥21.6, &lt;31.5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≥31.5, &lt;39.6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33.84, &lt; 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16.2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</w:tbl>
    <w:p>
      <w:pPr>
        <w:pStyle w:val="31"/>
        <w:spacing w:after="0"/>
        <w:rPr>
          <w:lang w:eastAsia="zh-CN"/>
        </w:rPr>
      </w:pPr>
    </w:p>
    <w:p>
      <w:pPr>
        <w:pStyle w:val="31"/>
        <w:spacing w:after="0"/>
        <w:rPr>
          <w:lang w:eastAsia="zh-CN"/>
        </w:rPr>
      </w:pPr>
    </w:p>
    <w:p>
      <w:pPr>
        <w:pStyle w:val="69"/>
        <w:rPr>
          <w:lang w:val="en-US"/>
        </w:rPr>
      </w:pPr>
      <w:r>
        <w:t>Table 2: A-MPR for NS_46 for PC2</w:t>
      </w:r>
    </w:p>
    <w:tbl>
      <w:tblPr>
        <w:tblStyle w:val="46"/>
        <w:tblW w:w="10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790"/>
        <w:gridCol w:w="1111"/>
        <w:gridCol w:w="1111"/>
        <w:gridCol w:w="1111"/>
        <w:gridCol w:w="1111"/>
        <w:gridCol w:w="1111"/>
        <w:gridCol w:w="1111"/>
        <w:gridCol w:w="1111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020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A4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A5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A6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  <w:tc>
          <w:tcPr>
            <w:tcW w:w="981" w:type="dxa"/>
          </w:tcPr>
          <w:p>
            <w:pPr>
              <w:pStyle w:val="67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A11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020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981" w:type="dxa"/>
          </w:tcPr>
          <w:p>
            <w:pPr>
              <w:pStyle w:val="67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Outer/Inner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3.0</w:t>
            </w:r>
          </w:p>
        </w:tc>
        <w:tc>
          <w:tcPr>
            <w:tcW w:w="981" w:type="dxa"/>
          </w:tcPr>
          <w:p>
            <w:pPr>
              <w:pStyle w:val="61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3.0</w:t>
            </w:r>
          </w:p>
        </w:tc>
        <w:tc>
          <w:tcPr>
            <w:tcW w:w="981" w:type="dxa"/>
          </w:tcPr>
          <w:p>
            <w:pPr>
              <w:pStyle w:val="61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981" w:type="dxa"/>
          </w:tcPr>
          <w:p>
            <w:pPr>
              <w:pStyle w:val="61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3.5</w:t>
            </w:r>
          </w:p>
        </w:tc>
        <w:tc>
          <w:tcPr>
            <w:tcW w:w="981" w:type="dxa"/>
          </w:tcPr>
          <w:p>
            <w:pPr>
              <w:pStyle w:val="61"/>
              <w:rPr>
                <w:lang w:val="fi-FI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</w:p>
        </w:tc>
        <w:tc>
          <w:tcPr>
            <w:tcW w:w="981" w:type="dxa"/>
          </w:tcPr>
          <w:p>
            <w:pPr>
              <w:pStyle w:val="61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  <w:tc>
          <w:tcPr>
            <w:tcW w:w="981" w:type="dxa"/>
          </w:tcPr>
          <w:p>
            <w:pPr>
              <w:pStyle w:val="61"/>
              <w:rPr>
                <w:lang w:val="fi-FI" w:eastAsia="zh-CN"/>
              </w:rPr>
            </w:pPr>
            <w:r>
              <w:rPr>
                <w:color w:val="FF0000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  <w:tc>
          <w:tcPr>
            <w:tcW w:w="981" w:type="dxa"/>
          </w:tcPr>
          <w:p>
            <w:pPr>
              <w:pStyle w:val="61"/>
              <w:rPr>
                <w:lang w:val="fi-FI" w:eastAsia="zh-CN"/>
              </w:rPr>
            </w:pPr>
            <w:r>
              <w:rPr>
                <w:color w:val="FF0000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  <w:tc>
          <w:tcPr>
            <w:tcW w:w="981" w:type="dxa"/>
          </w:tcPr>
          <w:p>
            <w:pPr>
              <w:pStyle w:val="61"/>
              <w:rPr>
                <w:lang w:val="fi-FI" w:eastAsia="zh-CN"/>
              </w:rPr>
            </w:pPr>
            <w:r>
              <w:rPr>
                <w:color w:val="FF0000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6.5 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1"/>
              <w:rPr>
                <w:lang w:val="en-US" w:eastAsia="zh-CN"/>
              </w:rPr>
            </w:pPr>
          </w:p>
        </w:tc>
        <w:tc>
          <w:tcPr>
            <w:tcW w:w="981" w:type="dxa"/>
          </w:tcPr>
          <w:p>
            <w:pPr>
              <w:pStyle w:val="61"/>
              <w:rPr>
                <w:lang w:val="en-US" w:eastAsia="zh-CN"/>
              </w:rPr>
            </w:pPr>
          </w:p>
        </w:tc>
      </w:tr>
    </w:tbl>
    <w:p>
      <w:pPr>
        <w:pStyle w:val="31"/>
        <w:spacing w:after="0"/>
        <w:rPr>
          <w:lang w:eastAsia="zh-CN"/>
        </w:rPr>
      </w:pPr>
    </w:p>
    <w:p>
      <w:pPr>
        <w:overflowPunct/>
        <w:autoSpaceDE/>
        <w:autoSpaceDN/>
        <w:adjustRightInd/>
        <w:spacing w:after="120"/>
        <w:textAlignment w:val="auto"/>
        <w:rPr>
          <w:rFonts w:eastAsia="MS Mincho"/>
          <w:b/>
          <w:lang w:eastAsia="en-US"/>
        </w:rPr>
      </w:pPr>
    </w:p>
    <w:p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eastAsia="MS Mincho"/>
          <w:b/>
          <w:lang w:eastAsia="en-US"/>
        </w:rPr>
      </w:pPr>
      <w:r>
        <w:rPr>
          <w:rFonts w:hint="eastAsia"/>
          <w:lang w:val="en-US" w:eastAsia="zh-CN"/>
        </w:rPr>
        <w:t>Aim to finalize the requirements in RAN4-111</w:t>
      </w:r>
    </w:p>
    <w:p>
      <w:pPr>
        <w:spacing w:after="120" w:afterLines="50"/>
        <w:rPr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/>
    <w:p>
      <w:pPr>
        <w:pStyle w:val="3"/>
        <w:rPr>
          <w:b/>
          <w:lang w:val="en-US"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1</w:t>
      </w:r>
      <w:r>
        <w:t>-</w:t>
      </w:r>
      <w:r>
        <w:rPr>
          <w:rFonts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 xml:space="preserve"> NS_12, NS_13, NS_14, NS_15 (A-MPR for n26 PC2)</w:t>
      </w:r>
      <w:r>
        <w:t>&gt;</w:t>
      </w:r>
    </w:p>
    <w:p>
      <w:pPr>
        <w:pStyle w:val="76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&lt;Background [1]&gt;:</w:t>
      </w:r>
    </w:p>
    <w:p>
      <w:pPr>
        <w:pStyle w:val="76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val="en-US" w:eastAsia="zh-CN"/>
        </w:rPr>
      </w:pPr>
      <w:r>
        <w:rPr>
          <w:lang w:val="en-US" w:eastAsia="zh-CN"/>
        </w:rPr>
        <w:t>Set a starting point</w:t>
      </w:r>
      <w:r>
        <w:rPr>
          <w:rFonts w:hint="eastAsia"/>
          <w:lang w:val="en-US" w:eastAsia="zh-CN"/>
        </w:rPr>
        <w:t xml:space="preserve"> for NS_12, NS_13, NS_14, NS_15 by merging the A-MPR regions and values in R4-2402214 and R4-2315374.</w:t>
      </w:r>
      <w:r>
        <w:rPr>
          <w:lang w:val="en-US" w:eastAsia="zh-CN"/>
        </w:rPr>
        <w:t xml:space="preserve"> New inputs can be still taken into consideration.</w:t>
      </w:r>
    </w:p>
    <w:p>
      <w:pPr>
        <w:pStyle w:val="76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val="en-US" w:eastAsia="zh-CN"/>
        </w:rPr>
      </w:pPr>
    </w:p>
    <w:p>
      <w:pPr>
        <w:pStyle w:val="76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pStyle w:val="76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>
        <w:rPr>
          <w:rFonts w:hint="eastAsia" w:eastAsia="宋体"/>
          <w:bCs/>
          <w:lang w:val="en-US" w:eastAsia="zh-CN"/>
        </w:rPr>
        <w:t>A</w:t>
      </w:r>
      <w:r>
        <w:rPr>
          <w:rFonts w:hint="eastAsia"/>
          <w:bCs/>
        </w:rPr>
        <w:t>im to finali</w:t>
      </w:r>
      <w:r>
        <w:rPr>
          <w:rFonts w:hint="eastAsia" w:eastAsia="宋体"/>
          <w:bCs/>
          <w:lang w:val="en-US" w:eastAsia="zh-CN"/>
        </w:rPr>
        <w:t>z</w:t>
      </w:r>
      <w:r>
        <w:rPr>
          <w:rFonts w:hint="eastAsia"/>
          <w:bCs/>
        </w:rPr>
        <w:t>e the requirements in RAN4#111.</w:t>
      </w:r>
    </w:p>
    <w:p>
      <w:pPr>
        <w:spacing w:after="120"/>
        <w:rPr>
          <w:color w:val="0070C0"/>
          <w:szCs w:val="24"/>
          <w:lang w:eastAsia="zh-CN"/>
        </w:rPr>
      </w:pPr>
    </w:p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pStyle w:val="69"/>
        <w:jc w:val="left"/>
        <w:rPr>
          <w:lang w:val="en-US"/>
        </w:rPr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[1] R4-2403629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WF on HPUE for FDD bands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China Unicom, Skyworks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RAN4-110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[2] R4-2405264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Topic summary for [110bis][111] HPUE_Basket_FDD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Moderator (China Unicom)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RAN4-110-bis</w:t>
      </w:r>
    </w:p>
    <w:p>
      <w:pPr>
        <w:pStyle w:val="69"/>
        <w:jc w:val="left"/>
        <w:rPr>
          <w:lang w:val="en-US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23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CAF7D"/>
    <w:multiLevelType w:val="singleLevel"/>
    <w:tmpl w:val="883CAF7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8E8C866A"/>
    <w:multiLevelType w:val="multilevel"/>
    <w:tmpl w:val="8E8C866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BE658F36"/>
    <w:multiLevelType w:val="singleLevel"/>
    <w:tmpl w:val="BE658F3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2A053B90"/>
    <w:multiLevelType w:val="multilevel"/>
    <w:tmpl w:val="2A053B90"/>
    <w:lvl w:ilvl="0" w:tentative="0">
      <w:start w:val="1"/>
      <w:numFmt w:val="bullet"/>
      <w:lvlText w:val="•"/>
      <w:lvlJc w:val="left"/>
      <w:pPr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4AB2E60F"/>
    <w:multiLevelType w:val="singleLevel"/>
    <w:tmpl w:val="4AB2E60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4C0670A8"/>
    <w:multiLevelType w:val="singleLevel"/>
    <w:tmpl w:val="4C0670A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BD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6F7D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3B2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12B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35D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80B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AE8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4D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C5F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37B"/>
    <w:rsid w:val="002701F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1CA3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B46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684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248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FE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3E74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052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B4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ED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987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B9C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4E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599"/>
    <w:rsid w:val="005F43E7"/>
    <w:rsid w:val="005F466E"/>
    <w:rsid w:val="005F5231"/>
    <w:rsid w:val="005F5C82"/>
    <w:rsid w:val="005F6E45"/>
    <w:rsid w:val="005F797D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189"/>
    <w:rsid w:val="006147E3"/>
    <w:rsid w:val="006148A7"/>
    <w:rsid w:val="00615093"/>
    <w:rsid w:val="00615713"/>
    <w:rsid w:val="00615A4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913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F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CE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2A1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2F39"/>
    <w:rsid w:val="00744F44"/>
    <w:rsid w:val="0074568D"/>
    <w:rsid w:val="00746350"/>
    <w:rsid w:val="00750C5F"/>
    <w:rsid w:val="00751418"/>
    <w:rsid w:val="007518C7"/>
    <w:rsid w:val="00751C86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4D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178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06C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4B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164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9CF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656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1EF2"/>
    <w:rsid w:val="009023F4"/>
    <w:rsid w:val="00902927"/>
    <w:rsid w:val="00902D50"/>
    <w:rsid w:val="00903940"/>
    <w:rsid w:val="00903A60"/>
    <w:rsid w:val="009049F1"/>
    <w:rsid w:val="0090527F"/>
    <w:rsid w:val="00905C37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19B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601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03B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ED1"/>
    <w:rsid w:val="009E5F59"/>
    <w:rsid w:val="009E628C"/>
    <w:rsid w:val="009E6778"/>
    <w:rsid w:val="009F0362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305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C4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FB2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590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0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87D"/>
    <w:rsid w:val="00B448DC"/>
    <w:rsid w:val="00B455A2"/>
    <w:rsid w:val="00B4663B"/>
    <w:rsid w:val="00B47976"/>
    <w:rsid w:val="00B50063"/>
    <w:rsid w:val="00B50A54"/>
    <w:rsid w:val="00B51211"/>
    <w:rsid w:val="00B51400"/>
    <w:rsid w:val="00B51F6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841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5A"/>
    <w:rsid w:val="00B85811"/>
    <w:rsid w:val="00B85E90"/>
    <w:rsid w:val="00B867CD"/>
    <w:rsid w:val="00B86BC8"/>
    <w:rsid w:val="00B86DC9"/>
    <w:rsid w:val="00B877C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3FF8"/>
    <w:rsid w:val="00BC4277"/>
    <w:rsid w:val="00BC55D5"/>
    <w:rsid w:val="00BC5C1C"/>
    <w:rsid w:val="00BC6853"/>
    <w:rsid w:val="00BC6B1A"/>
    <w:rsid w:val="00BD167E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5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42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52B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052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E55"/>
    <w:rsid w:val="00CE5F94"/>
    <w:rsid w:val="00CE6E8B"/>
    <w:rsid w:val="00CE7187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B5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E3A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D0C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D8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742"/>
    <w:rsid w:val="00DE7F4F"/>
    <w:rsid w:val="00DF0DB4"/>
    <w:rsid w:val="00DF1313"/>
    <w:rsid w:val="00DF2FE7"/>
    <w:rsid w:val="00DF3939"/>
    <w:rsid w:val="00DF44DC"/>
    <w:rsid w:val="00DF4D5D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08C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979"/>
    <w:rsid w:val="00E647F5"/>
    <w:rsid w:val="00E64989"/>
    <w:rsid w:val="00E6535F"/>
    <w:rsid w:val="00E6619C"/>
    <w:rsid w:val="00E6673E"/>
    <w:rsid w:val="00E671E3"/>
    <w:rsid w:val="00E675CD"/>
    <w:rsid w:val="00E67E6F"/>
    <w:rsid w:val="00E70088"/>
    <w:rsid w:val="00E70211"/>
    <w:rsid w:val="00E70B90"/>
    <w:rsid w:val="00E70CDF"/>
    <w:rsid w:val="00E71CF2"/>
    <w:rsid w:val="00E72A01"/>
    <w:rsid w:val="00E72A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C05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5B3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226"/>
    <w:rsid w:val="00F27B6B"/>
    <w:rsid w:val="00F3104E"/>
    <w:rsid w:val="00F31ECA"/>
    <w:rsid w:val="00F335A8"/>
    <w:rsid w:val="00F33A72"/>
    <w:rsid w:val="00F34055"/>
    <w:rsid w:val="00F34E11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F05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02E"/>
    <w:rsid w:val="00F64438"/>
    <w:rsid w:val="00F64978"/>
    <w:rsid w:val="00F649A0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CE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FE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62A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751DBA"/>
    <w:rsid w:val="017C6D0A"/>
    <w:rsid w:val="024C2710"/>
    <w:rsid w:val="02B01E19"/>
    <w:rsid w:val="02EE7BE2"/>
    <w:rsid w:val="02F27E07"/>
    <w:rsid w:val="03BA7AF8"/>
    <w:rsid w:val="03CF40CB"/>
    <w:rsid w:val="03E55313"/>
    <w:rsid w:val="046A1781"/>
    <w:rsid w:val="04A610B0"/>
    <w:rsid w:val="04A953C1"/>
    <w:rsid w:val="05B8748E"/>
    <w:rsid w:val="066D6793"/>
    <w:rsid w:val="06EE493D"/>
    <w:rsid w:val="06FD7006"/>
    <w:rsid w:val="079A0685"/>
    <w:rsid w:val="08DF72DC"/>
    <w:rsid w:val="09654E76"/>
    <w:rsid w:val="0A024FF7"/>
    <w:rsid w:val="0B14133A"/>
    <w:rsid w:val="0B194841"/>
    <w:rsid w:val="0B4A3E51"/>
    <w:rsid w:val="0BE26ED4"/>
    <w:rsid w:val="0D481D10"/>
    <w:rsid w:val="0DDF6D7E"/>
    <w:rsid w:val="0E69173A"/>
    <w:rsid w:val="0E865CF4"/>
    <w:rsid w:val="0F6D3238"/>
    <w:rsid w:val="0FD90DA6"/>
    <w:rsid w:val="104C32F3"/>
    <w:rsid w:val="10BE10ED"/>
    <w:rsid w:val="10E130BF"/>
    <w:rsid w:val="10E53644"/>
    <w:rsid w:val="126A751A"/>
    <w:rsid w:val="12715E10"/>
    <w:rsid w:val="131F0F9E"/>
    <w:rsid w:val="13305A02"/>
    <w:rsid w:val="13466174"/>
    <w:rsid w:val="14866E4C"/>
    <w:rsid w:val="160D0B3E"/>
    <w:rsid w:val="16160F4A"/>
    <w:rsid w:val="17787F70"/>
    <w:rsid w:val="17A162C2"/>
    <w:rsid w:val="17B0376D"/>
    <w:rsid w:val="1890016F"/>
    <w:rsid w:val="18D812E1"/>
    <w:rsid w:val="19EF056A"/>
    <w:rsid w:val="1A2278D9"/>
    <w:rsid w:val="1A8D0AA7"/>
    <w:rsid w:val="1B873D4E"/>
    <w:rsid w:val="1BEF0D4E"/>
    <w:rsid w:val="1C5A72B4"/>
    <w:rsid w:val="1C730FDE"/>
    <w:rsid w:val="1D2B2172"/>
    <w:rsid w:val="1DD71083"/>
    <w:rsid w:val="1ECC2B19"/>
    <w:rsid w:val="1FFE003E"/>
    <w:rsid w:val="20B84EBC"/>
    <w:rsid w:val="20C15408"/>
    <w:rsid w:val="20DE4E3A"/>
    <w:rsid w:val="21126D26"/>
    <w:rsid w:val="214C56AE"/>
    <w:rsid w:val="21DE311D"/>
    <w:rsid w:val="23045086"/>
    <w:rsid w:val="23AD6DBC"/>
    <w:rsid w:val="23FC3C9B"/>
    <w:rsid w:val="25A5262A"/>
    <w:rsid w:val="26154EB4"/>
    <w:rsid w:val="263712CE"/>
    <w:rsid w:val="26BC301B"/>
    <w:rsid w:val="284C1346"/>
    <w:rsid w:val="2A1131F0"/>
    <w:rsid w:val="2B186696"/>
    <w:rsid w:val="2B6C0AE3"/>
    <w:rsid w:val="2BDF47CE"/>
    <w:rsid w:val="2D74208E"/>
    <w:rsid w:val="2EDB42EF"/>
    <w:rsid w:val="2FCC5A71"/>
    <w:rsid w:val="30D8545C"/>
    <w:rsid w:val="318757A5"/>
    <w:rsid w:val="33396201"/>
    <w:rsid w:val="33422808"/>
    <w:rsid w:val="34436A1F"/>
    <w:rsid w:val="344C44EB"/>
    <w:rsid w:val="359270B5"/>
    <w:rsid w:val="35E136DB"/>
    <w:rsid w:val="36440A18"/>
    <w:rsid w:val="36B16619"/>
    <w:rsid w:val="37903539"/>
    <w:rsid w:val="37ED6F5E"/>
    <w:rsid w:val="38480E77"/>
    <w:rsid w:val="3A6C4AD1"/>
    <w:rsid w:val="3BC75354"/>
    <w:rsid w:val="3C6A11AE"/>
    <w:rsid w:val="3CE0322B"/>
    <w:rsid w:val="3DD859EA"/>
    <w:rsid w:val="3DE5322B"/>
    <w:rsid w:val="3E3C184F"/>
    <w:rsid w:val="3F6A6298"/>
    <w:rsid w:val="40761740"/>
    <w:rsid w:val="42E87348"/>
    <w:rsid w:val="42F7646A"/>
    <w:rsid w:val="43463A98"/>
    <w:rsid w:val="4387297E"/>
    <w:rsid w:val="438D2A60"/>
    <w:rsid w:val="44457410"/>
    <w:rsid w:val="448E4357"/>
    <w:rsid w:val="452B173B"/>
    <w:rsid w:val="45E71F71"/>
    <w:rsid w:val="46C416EB"/>
    <w:rsid w:val="47486DFD"/>
    <w:rsid w:val="47DB5B06"/>
    <w:rsid w:val="47DD5843"/>
    <w:rsid w:val="48245202"/>
    <w:rsid w:val="48912FDD"/>
    <w:rsid w:val="495639C3"/>
    <w:rsid w:val="4A0D65D2"/>
    <w:rsid w:val="4A691851"/>
    <w:rsid w:val="4AA94B8B"/>
    <w:rsid w:val="4ADF17E2"/>
    <w:rsid w:val="4BC5254A"/>
    <w:rsid w:val="4C7659BB"/>
    <w:rsid w:val="4D4C1904"/>
    <w:rsid w:val="4F0125CA"/>
    <w:rsid w:val="4FA82A40"/>
    <w:rsid w:val="4FD10381"/>
    <w:rsid w:val="511B2F05"/>
    <w:rsid w:val="513144BA"/>
    <w:rsid w:val="52715B72"/>
    <w:rsid w:val="527C0824"/>
    <w:rsid w:val="531371D9"/>
    <w:rsid w:val="53A15B43"/>
    <w:rsid w:val="541C372E"/>
    <w:rsid w:val="544D0DB0"/>
    <w:rsid w:val="54CD52B0"/>
    <w:rsid w:val="550A4EC4"/>
    <w:rsid w:val="56AB1820"/>
    <w:rsid w:val="56B37F4E"/>
    <w:rsid w:val="56C97471"/>
    <w:rsid w:val="570D0380"/>
    <w:rsid w:val="574C17A5"/>
    <w:rsid w:val="57F94CA8"/>
    <w:rsid w:val="585C0985"/>
    <w:rsid w:val="58772ABA"/>
    <w:rsid w:val="58F22CAF"/>
    <w:rsid w:val="59B81C19"/>
    <w:rsid w:val="59C62DD0"/>
    <w:rsid w:val="5A0509C4"/>
    <w:rsid w:val="5A3924EB"/>
    <w:rsid w:val="5A6E746B"/>
    <w:rsid w:val="5AAD5600"/>
    <w:rsid w:val="5B477B91"/>
    <w:rsid w:val="5B7C541C"/>
    <w:rsid w:val="5BB2550F"/>
    <w:rsid w:val="5C50666A"/>
    <w:rsid w:val="5F133B3B"/>
    <w:rsid w:val="5F6A0B17"/>
    <w:rsid w:val="5FA4390C"/>
    <w:rsid w:val="606232AE"/>
    <w:rsid w:val="61B559C7"/>
    <w:rsid w:val="624E4668"/>
    <w:rsid w:val="62CE4CAA"/>
    <w:rsid w:val="62F16356"/>
    <w:rsid w:val="63BF15E7"/>
    <w:rsid w:val="63D85AE3"/>
    <w:rsid w:val="64084597"/>
    <w:rsid w:val="648F3388"/>
    <w:rsid w:val="65E3553C"/>
    <w:rsid w:val="65EC7E41"/>
    <w:rsid w:val="661C3E14"/>
    <w:rsid w:val="66DE1953"/>
    <w:rsid w:val="68330B8A"/>
    <w:rsid w:val="68701E42"/>
    <w:rsid w:val="69B047D3"/>
    <w:rsid w:val="69C15A70"/>
    <w:rsid w:val="6A616455"/>
    <w:rsid w:val="6B1E7886"/>
    <w:rsid w:val="6B8C547F"/>
    <w:rsid w:val="6C682001"/>
    <w:rsid w:val="6D637604"/>
    <w:rsid w:val="6E457519"/>
    <w:rsid w:val="6E4A2044"/>
    <w:rsid w:val="6E677ACF"/>
    <w:rsid w:val="6F2B2C29"/>
    <w:rsid w:val="6FB203BD"/>
    <w:rsid w:val="701E2FEC"/>
    <w:rsid w:val="70D51AE1"/>
    <w:rsid w:val="71B132D2"/>
    <w:rsid w:val="72E05D86"/>
    <w:rsid w:val="73726921"/>
    <w:rsid w:val="73D12920"/>
    <w:rsid w:val="7416168B"/>
    <w:rsid w:val="74AA1E38"/>
    <w:rsid w:val="74E434AA"/>
    <w:rsid w:val="756F79E9"/>
    <w:rsid w:val="7665729C"/>
    <w:rsid w:val="770039F9"/>
    <w:rsid w:val="77520E56"/>
    <w:rsid w:val="77560AA9"/>
    <w:rsid w:val="77A87288"/>
    <w:rsid w:val="77AF3096"/>
    <w:rsid w:val="79F37E22"/>
    <w:rsid w:val="7A5F16D0"/>
    <w:rsid w:val="7AD310B6"/>
    <w:rsid w:val="7B146EC2"/>
    <w:rsid w:val="7BA55CAA"/>
    <w:rsid w:val="7C331E95"/>
    <w:rsid w:val="7C521269"/>
    <w:rsid w:val="7CCA3477"/>
    <w:rsid w:val="7E167E4E"/>
    <w:rsid w:val="7E4B28BD"/>
    <w:rsid w:val="7E4B3BE5"/>
    <w:rsid w:val="7EB06559"/>
    <w:rsid w:val="7F5027ED"/>
    <w:rsid w:val="7FC34A69"/>
    <w:rsid w:val="7FFD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7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4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link w:val="114"/>
    <w:semiHidden/>
    <w:unhideWhenUsed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5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4"/>
    <w:qFormat/>
    <w:uiPriority w:val="0"/>
    <w:pPr>
      <w:jc w:val="center"/>
    </w:pPr>
    <w:rPr>
      <w:i/>
    </w:rPr>
  </w:style>
  <w:style w:type="paragraph" w:styleId="37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8">
    <w:name w:val="footnote text"/>
    <w:basedOn w:val="1"/>
    <w:link w:val="8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link w:val="115"/>
    <w:semiHidden/>
    <w:unhideWhenUsed/>
    <w:qFormat/>
    <w:uiPriority w:val="99"/>
    <w:rPr>
      <w:b/>
      <w:bCs/>
    </w:rPr>
  </w:style>
  <w:style w:type="table" w:styleId="47">
    <w:name w:val="Table Grid"/>
    <w:basedOn w:val="4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Hyperlink"/>
    <w:unhideWhenUsed/>
    <w:qFormat/>
    <w:uiPriority w:val="99"/>
    <w:rPr>
      <w:color w:val="0000FF"/>
      <w:u w:val="single"/>
    </w:rPr>
  </w:style>
  <w:style w:type="character" w:styleId="50">
    <w:name w:val="annotation reference"/>
    <w:basedOn w:val="48"/>
    <w:semiHidden/>
    <w:unhideWhenUsed/>
    <w:qFormat/>
    <w:uiPriority w:val="99"/>
    <w:rPr>
      <w:sz w:val="16"/>
      <w:szCs w:val="16"/>
    </w:rPr>
  </w:style>
  <w:style w:type="character" w:styleId="51">
    <w:name w:val="footnote reference"/>
    <w:basedOn w:val="48"/>
    <w:semiHidden/>
    <w:qFormat/>
    <w:uiPriority w:val="0"/>
    <w:rPr>
      <w:b/>
      <w:position w:val="6"/>
      <w:sz w:val="16"/>
    </w:rPr>
  </w:style>
  <w:style w:type="character" w:customStyle="1" w:styleId="52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4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5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6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7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8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60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61">
    <w:name w:val="TAC"/>
    <w:basedOn w:val="62"/>
    <w:link w:val="63"/>
    <w:qFormat/>
    <w:uiPriority w:val="0"/>
    <w:pPr>
      <w:jc w:val="center"/>
    </w:pPr>
  </w:style>
  <w:style w:type="paragraph" w:customStyle="1" w:styleId="62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3">
    <w:name w:val="TAC Char"/>
    <w:link w:val="61"/>
    <w:qFormat/>
    <w:uiPriority w:val="0"/>
    <w:rPr>
      <w:rFonts w:ascii="Arial" w:hAnsi="Arial" w:eastAsia="Times New Roman"/>
      <w:sz w:val="18"/>
    </w:rPr>
  </w:style>
  <w:style w:type="character" w:customStyle="1" w:styleId="64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5">
    <w:name w:val="Balloon Text Char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6">
    <w:name w:val="TAL Car"/>
    <w:link w:val="62"/>
    <w:qFormat/>
    <w:locked/>
    <w:uiPriority w:val="0"/>
    <w:rPr>
      <w:rFonts w:ascii="Arial" w:hAnsi="Arial" w:eastAsia="Times New Roman"/>
      <w:sz w:val="18"/>
    </w:rPr>
  </w:style>
  <w:style w:type="paragraph" w:customStyle="1" w:styleId="67">
    <w:name w:val="TAH"/>
    <w:basedOn w:val="61"/>
    <w:link w:val="71"/>
    <w:qFormat/>
    <w:uiPriority w:val="0"/>
    <w:rPr>
      <w:b/>
    </w:rPr>
  </w:style>
  <w:style w:type="character" w:customStyle="1" w:styleId="68">
    <w:name w:val="TH Char"/>
    <w:link w:val="69"/>
    <w:qFormat/>
    <w:locked/>
    <w:uiPriority w:val="0"/>
    <w:rPr>
      <w:rFonts w:ascii="Arial" w:hAnsi="Arial" w:eastAsia="Times New Roman"/>
      <w:b/>
    </w:rPr>
  </w:style>
  <w:style w:type="paragraph" w:customStyle="1" w:styleId="69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TAN"/>
    <w:basedOn w:val="62"/>
    <w:link w:val="72"/>
    <w:qFormat/>
    <w:uiPriority w:val="0"/>
    <w:pPr>
      <w:ind w:left="851" w:hanging="851"/>
    </w:pPr>
  </w:style>
  <w:style w:type="character" w:customStyle="1" w:styleId="71">
    <w:name w:val="TAH Car"/>
    <w:link w:val="6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TAN Char"/>
    <w:link w:val="70"/>
    <w:qFormat/>
    <w:uiPriority w:val="0"/>
    <w:rPr>
      <w:rFonts w:ascii="Arial" w:hAnsi="Arial" w:eastAsia="Times New Roman"/>
      <w:sz w:val="18"/>
    </w:rPr>
  </w:style>
  <w:style w:type="character" w:customStyle="1" w:styleId="73">
    <w:name w:val="Header Char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4">
    <w:name w:val="Footer Char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5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6">
    <w:name w:val="List Paragraph"/>
    <w:basedOn w:val="1"/>
    <w:qFormat/>
    <w:uiPriority w:val="34"/>
    <w:pPr>
      <w:ind w:firstLine="420" w:firstLineChars="200"/>
    </w:pPr>
  </w:style>
  <w:style w:type="character" w:customStyle="1" w:styleId="77">
    <w:name w:val="texhtml"/>
    <w:basedOn w:val="48"/>
    <w:qFormat/>
    <w:uiPriority w:val="0"/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character" w:customStyle="1" w:styleId="81">
    <w:name w:val="Footnote Text Char"/>
    <w:basedOn w:val="48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2">
    <w:name w:val="TF"/>
    <w:basedOn w:val="69"/>
    <w:qFormat/>
    <w:uiPriority w:val="0"/>
    <w:pPr>
      <w:keepNext w:val="0"/>
      <w:spacing w:before="0" w:after="240"/>
    </w:pPr>
  </w:style>
  <w:style w:type="paragraph" w:customStyle="1" w:styleId="83">
    <w:name w:val="NO"/>
    <w:basedOn w:val="1"/>
    <w:qFormat/>
    <w:uiPriority w:val="0"/>
    <w:pPr>
      <w:keepLines/>
      <w:ind w:left="1135" w:hanging="851"/>
    </w:pPr>
  </w:style>
  <w:style w:type="paragraph" w:customStyle="1" w:styleId="84">
    <w:name w:val="EX"/>
    <w:basedOn w:val="1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7">
    <w:name w:val="NW"/>
    <w:basedOn w:val="83"/>
    <w:qFormat/>
    <w:uiPriority w:val="0"/>
    <w:pPr>
      <w:spacing w:after="0"/>
    </w:pPr>
  </w:style>
  <w:style w:type="paragraph" w:customStyle="1" w:styleId="88">
    <w:name w:val="EW"/>
    <w:basedOn w:val="84"/>
    <w:qFormat/>
    <w:uiPriority w:val="0"/>
    <w:pPr>
      <w:spacing w:after="0"/>
    </w:p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0">
    <w:name w:val="NF"/>
    <w:basedOn w:val="8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2">
    <w:name w:val="TAR"/>
    <w:basedOn w:val="62"/>
    <w:qFormat/>
    <w:uiPriority w:val="0"/>
    <w:pPr>
      <w:jc w:val="right"/>
    </w:p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ZV"/>
    <w:basedOn w:val="96"/>
    <w:qFormat/>
    <w:uiPriority w:val="0"/>
    <w:pPr>
      <w:framePr w:y="16161"/>
    </w:pPr>
  </w:style>
  <w:style w:type="character" w:customStyle="1" w:styleId="98">
    <w:name w:val="ZGSM"/>
    <w:qFormat/>
    <w:uiPriority w:val="0"/>
  </w:style>
  <w:style w:type="paragraph" w:customStyle="1" w:styleId="9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0">
    <w:name w:val="Editor's Note"/>
    <w:basedOn w:val="83"/>
    <w:qFormat/>
    <w:uiPriority w:val="0"/>
    <w:rPr>
      <w:color w:val="FF0000"/>
    </w:rPr>
  </w:style>
  <w:style w:type="paragraph" w:customStyle="1" w:styleId="101">
    <w:name w:val="B1"/>
    <w:basedOn w:val="14"/>
    <w:qFormat/>
    <w:uiPriority w:val="0"/>
  </w:style>
  <w:style w:type="paragraph" w:customStyle="1" w:styleId="102">
    <w:name w:val="B2"/>
    <w:basedOn w:val="13"/>
    <w:qFormat/>
    <w:uiPriority w:val="0"/>
  </w:style>
  <w:style w:type="paragraph" w:customStyle="1" w:styleId="103">
    <w:name w:val="B3"/>
    <w:basedOn w:val="12"/>
    <w:qFormat/>
    <w:uiPriority w:val="0"/>
  </w:style>
  <w:style w:type="paragraph" w:customStyle="1" w:styleId="104">
    <w:name w:val="B4"/>
    <w:basedOn w:val="40"/>
    <w:qFormat/>
    <w:uiPriority w:val="0"/>
  </w:style>
  <w:style w:type="paragraph" w:customStyle="1" w:styleId="105">
    <w:name w:val="B5"/>
    <w:basedOn w:val="39"/>
    <w:qFormat/>
    <w:uiPriority w:val="0"/>
  </w:style>
  <w:style w:type="paragraph" w:customStyle="1" w:styleId="106">
    <w:name w:val="ZTD"/>
    <w:basedOn w:val="94"/>
    <w:qFormat/>
    <w:uiPriority w:val="0"/>
    <w:pPr>
      <w:framePr w:hRule="auto" w:y="852"/>
    </w:pPr>
    <w:rPr>
      <w:i w:val="0"/>
      <w:sz w:val="40"/>
    </w:rPr>
  </w:style>
  <w:style w:type="character" w:customStyle="1" w:styleId="107">
    <w:name w:val="fontstyle01"/>
    <w:basedOn w:val="48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108">
    <w:name w:val="fontstyle21"/>
    <w:basedOn w:val="48"/>
    <w:qFormat/>
    <w:uiPriority w:val="0"/>
    <w:rPr>
      <w:rFonts w:hint="default" w:ascii="T23" w:hAnsi="T23"/>
      <w:color w:val="000000"/>
      <w:sz w:val="20"/>
      <w:szCs w:val="20"/>
    </w:rPr>
  </w:style>
  <w:style w:type="paragraph" w:customStyle="1" w:styleId="109">
    <w:name w:val="Proposal"/>
    <w:basedOn w:val="1"/>
    <w:qFormat/>
    <w:uiPriority w:val="0"/>
    <w:pPr>
      <w:tabs>
        <w:tab w:val="left" w:pos="1701"/>
      </w:tabs>
      <w:ind w:left="1701" w:hanging="1701"/>
    </w:pPr>
    <w:rPr>
      <w:b/>
    </w:rPr>
  </w:style>
  <w:style w:type="paragraph" w:customStyle="1" w:styleId="110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1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2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3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14">
    <w:name w:val="Comment Text Char"/>
    <w:basedOn w:val="48"/>
    <w:link w:val="30"/>
    <w:semiHidden/>
    <w:qFormat/>
    <w:uiPriority w:val="99"/>
    <w:rPr>
      <w:rFonts w:eastAsia="Times New Roman"/>
      <w:lang w:eastAsia="en-GB"/>
    </w:rPr>
  </w:style>
  <w:style w:type="character" w:customStyle="1" w:styleId="115">
    <w:name w:val="Comment Subject Char"/>
    <w:basedOn w:val="114"/>
    <w:link w:val="45"/>
    <w:semiHidden/>
    <w:qFormat/>
    <w:uiPriority w:val="99"/>
    <w:rPr>
      <w:rFonts w:eastAsia="Times New Roman"/>
      <w:b/>
      <w:bCs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601</Words>
  <Characters>3432</Characters>
  <Lines>28</Lines>
  <Paragraphs>8</Paragraphs>
  <TotalTime>45</TotalTime>
  <ScaleCrop>false</ScaleCrop>
  <LinksUpToDate>false</LinksUpToDate>
  <CharactersWithSpaces>4025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2024-02-29T14:25:00Z</dcterms:created>
  <dc:creator>Dai Xizeng</dc:creator>
  <cp:lastModifiedBy>China Unicom</cp:lastModifiedBy>
  <dcterms:modified xsi:type="dcterms:W3CDTF">2024-04-18T07:44:41Z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61D24BD76F87468D9FF6F23517DDAC64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1713314539</vt:lpwstr>
  </property>
</Properties>
</file>